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7" w:rsidRDefault="00C13817" w:rsidP="00C13817">
      <w:pPr>
        <w:pStyle w:val="NormalWeb"/>
        <w:spacing w:before="0" w:beforeAutospacing="0" w:after="0" w:afterAutospacing="0"/>
        <w:ind w:left="-426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209800" cy="840346"/>
            <wp:effectExtent l="19050" t="0" r="0" b="0"/>
            <wp:docPr id="1" name="Image 1" descr="https://lh4.googleusercontent.com/jnkXLp6a-nY5NbyUoGPolGvcwKCs-5icY7rCjxEPgdiGhJIVx-11wTemdsyL9F5iclJThTJT3loUptVMArZAPolpv6kTKhTMP8-wFnuC4trxp0oGHTQuZ7e8ih4hlWg9yHY_m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nkXLp6a-nY5NbyUoGPolGvcwKCs-5icY7rCjxEPgdiGhJIVx-11wTemdsyL9F5iclJThTJT3loUptVMArZAPolpv6kTKhTMP8-wFnuC4trxp0oGHTQuZ7e8ih4hlWg9yHY_mU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88" cy="84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17" w:rsidRDefault="00C13817" w:rsidP="00C13817">
      <w:pPr>
        <w:pStyle w:val="NormalWeb"/>
        <w:spacing w:before="0" w:beforeAutospacing="0" w:after="0" w:afterAutospacing="0"/>
        <w:ind w:left="-426"/>
      </w:pPr>
      <w:r>
        <w:rPr>
          <w:rFonts w:ascii="Arial" w:hAnsi="Arial" w:cs="Arial"/>
          <w:color w:val="615B5E"/>
          <w:sz w:val="18"/>
          <w:szCs w:val="18"/>
        </w:rPr>
        <w:t>Place de la Habette  94000 Créteil</w:t>
      </w:r>
    </w:p>
    <w:p w:rsidR="00C13817" w:rsidRDefault="00C13817" w:rsidP="00C13817">
      <w:pPr>
        <w:pStyle w:val="NormalWeb"/>
        <w:spacing w:before="0" w:beforeAutospacing="0" w:after="0" w:afterAutospacing="0"/>
        <w:ind w:left="-426"/>
      </w:pPr>
      <w:r>
        <w:rPr>
          <w:rFonts w:ascii="Arial" w:hAnsi="Arial" w:cs="Arial"/>
          <w:color w:val="615B5E"/>
          <w:sz w:val="18"/>
          <w:szCs w:val="18"/>
        </w:rPr>
        <w:t>Email : association@espacedroitfamille.fr</w:t>
      </w:r>
    </w:p>
    <w:p w:rsidR="00C13817" w:rsidRDefault="00C13817" w:rsidP="00C13817">
      <w:pPr>
        <w:pStyle w:val="NormalWeb"/>
        <w:spacing w:before="0" w:beforeAutospacing="0" w:after="0" w:afterAutospacing="0"/>
        <w:ind w:left="-426"/>
      </w:pPr>
      <w:r>
        <w:rPr>
          <w:rFonts w:ascii="Arial" w:hAnsi="Arial" w:cs="Arial"/>
          <w:b/>
          <w:bCs/>
          <w:color w:val="615B5E"/>
          <w:sz w:val="18"/>
          <w:szCs w:val="18"/>
        </w:rPr>
        <w:t>Tel : 01 48 98 05 78</w:t>
      </w:r>
    </w:p>
    <w:p w:rsidR="00C13817" w:rsidRDefault="00C13817" w:rsidP="00BE548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B4t00"/>
          <w:b/>
          <w:sz w:val="28"/>
          <w:szCs w:val="28"/>
          <w:u w:val="single"/>
        </w:rPr>
      </w:pPr>
    </w:p>
    <w:p w:rsidR="00C13817" w:rsidRDefault="00C13817" w:rsidP="00BE548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B4t00"/>
          <w:b/>
          <w:sz w:val="28"/>
          <w:szCs w:val="28"/>
          <w:u w:val="single"/>
        </w:rPr>
      </w:pPr>
    </w:p>
    <w:p w:rsidR="00C13817" w:rsidRDefault="00C13817" w:rsidP="00BE548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B4t00"/>
          <w:b/>
          <w:sz w:val="28"/>
          <w:szCs w:val="28"/>
          <w:u w:val="single"/>
        </w:rPr>
      </w:pPr>
    </w:p>
    <w:p w:rsidR="00C13817" w:rsidRDefault="00C13817" w:rsidP="00BE548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B4t00"/>
          <w:b/>
          <w:sz w:val="28"/>
          <w:szCs w:val="28"/>
          <w:u w:val="single"/>
        </w:rPr>
      </w:pPr>
      <w:r>
        <w:rPr>
          <w:rFonts w:ascii="Georgia" w:hAnsi="Georgia" w:cs="TT1B4t00"/>
          <w:b/>
          <w:sz w:val="28"/>
          <w:szCs w:val="28"/>
          <w:u w:val="single"/>
        </w:rPr>
        <w:t>Cycle de conférences interculturel</w:t>
      </w:r>
    </w:p>
    <w:p w:rsidR="00BE548C" w:rsidRPr="00BE548C" w:rsidRDefault="00BE548C" w:rsidP="00BE548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B4t00"/>
          <w:b/>
          <w:sz w:val="28"/>
          <w:szCs w:val="28"/>
          <w:u w:val="single"/>
        </w:rPr>
      </w:pPr>
      <w:r w:rsidRPr="00BE548C">
        <w:rPr>
          <w:rFonts w:ascii="Georgia" w:hAnsi="Georgia" w:cs="TT1B4t00"/>
          <w:b/>
          <w:sz w:val="28"/>
          <w:szCs w:val="28"/>
          <w:u w:val="single"/>
        </w:rPr>
        <w:t>Références bibliographiques</w:t>
      </w:r>
    </w:p>
    <w:p w:rsidR="00BE548C" w:rsidRPr="002406C2" w:rsidRDefault="00BE548C" w:rsidP="00192E9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B4t00"/>
          <w:sz w:val="28"/>
          <w:szCs w:val="28"/>
          <w:u w:val="single"/>
        </w:rPr>
      </w:pPr>
    </w:p>
    <w:p w:rsidR="00A34AE4" w:rsidRPr="002406C2" w:rsidRDefault="00A34AE4" w:rsidP="00192E9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B4t00"/>
          <w:sz w:val="28"/>
          <w:szCs w:val="28"/>
          <w:u w:val="single"/>
        </w:rPr>
      </w:pPr>
    </w:p>
    <w:p w:rsidR="00A34AE4" w:rsidRPr="00C13817" w:rsidRDefault="00A34AE4" w:rsidP="00A34A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3817">
        <w:rPr>
          <w:rFonts w:ascii="Arial" w:hAnsi="Arial" w:cs="Arial"/>
          <w:b/>
          <w:sz w:val="24"/>
          <w:szCs w:val="24"/>
          <w:u w:val="single"/>
        </w:rPr>
        <w:t xml:space="preserve">Les ouvrages </w:t>
      </w: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-ASENSI H., </w:t>
      </w:r>
      <w:r w:rsidRPr="00C13817">
        <w:rPr>
          <w:rFonts w:ascii="Arial" w:hAnsi="Arial" w:cs="Arial"/>
          <w:i/>
          <w:sz w:val="24"/>
          <w:szCs w:val="24"/>
        </w:rPr>
        <w:t>Les effets de la situation d’exil sur le développement de l’enfant : les enfants réfugiés</w:t>
      </w:r>
      <w:r w:rsidRPr="00C13817">
        <w:rPr>
          <w:rFonts w:ascii="Arial" w:hAnsi="Arial" w:cs="Arial"/>
          <w:sz w:val="24"/>
          <w:szCs w:val="24"/>
        </w:rPr>
        <w:t xml:space="preserve">, In Devenir des traumas d’enfance, La Pensée Sauvage, 2014. </w:t>
      </w: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-ATTIAS-DONFUT C., WOLFF F-C., 2009</w:t>
      </w:r>
      <w:r w:rsidRPr="00C13817">
        <w:rPr>
          <w:rFonts w:ascii="Arial" w:hAnsi="Arial" w:cs="Arial"/>
          <w:i/>
          <w:sz w:val="24"/>
          <w:szCs w:val="24"/>
        </w:rPr>
        <w:t>, Les destin des enfants d’immigrés, un désenchaînement des générations</w:t>
      </w:r>
      <w:r w:rsidRPr="00C13817">
        <w:rPr>
          <w:rFonts w:ascii="Arial" w:hAnsi="Arial" w:cs="Arial"/>
          <w:sz w:val="24"/>
          <w:szCs w:val="24"/>
        </w:rPr>
        <w:t>, Paris Stock, collection « un ordre d’idées », 2009.</w:t>
      </w: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-AUSLOOS Guy, </w:t>
      </w:r>
      <w:r w:rsidRPr="00C1381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La compétence des famil</w:t>
      </w:r>
      <w:r w:rsidR="00C5345C" w:rsidRPr="00C1381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les</w:t>
      </w:r>
      <w:r w:rsidR="00C5345C" w:rsidRPr="00C1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Collection Relations, Erès, 2015.</w:t>
      </w: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C13817">
        <w:rPr>
          <w:rFonts w:ascii="Arial" w:hAnsi="Arial" w:cs="Arial"/>
          <w:sz w:val="24"/>
          <w:szCs w:val="24"/>
        </w:rPr>
        <w:t xml:space="preserve">BEAUD Stéphane, </w:t>
      </w:r>
      <w:r w:rsidRPr="00C13817">
        <w:rPr>
          <w:rFonts w:ascii="Arial" w:hAnsi="Arial" w:cs="Arial"/>
          <w:i/>
          <w:sz w:val="24"/>
          <w:szCs w:val="24"/>
        </w:rPr>
        <w:t>La France des Belhoumi</w:t>
      </w:r>
      <w:r w:rsidRPr="00C13817">
        <w:rPr>
          <w:rFonts w:ascii="Arial" w:hAnsi="Arial" w:cs="Arial"/>
          <w:sz w:val="24"/>
          <w:szCs w:val="24"/>
        </w:rPr>
        <w:t>, La Découverte, 2018.</w:t>
      </w: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211" w:rsidRPr="00C13817" w:rsidRDefault="00904211" w:rsidP="00904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-DAURE Ivy, </w:t>
      </w:r>
      <w:r w:rsidRPr="00C13817">
        <w:rPr>
          <w:rFonts w:ascii="Arial" w:hAnsi="Arial" w:cs="Arial"/>
          <w:i/>
          <w:sz w:val="24"/>
          <w:szCs w:val="24"/>
        </w:rPr>
        <w:t>Familles entre deux cultures : Dynamiques relationnelles et prise en charge systémique</w:t>
      </w:r>
      <w:r w:rsidRPr="00C13817">
        <w:rPr>
          <w:rFonts w:ascii="Arial" w:hAnsi="Arial" w:cs="Arial"/>
          <w:sz w:val="24"/>
          <w:szCs w:val="24"/>
        </w:rPr>
        <w:t>, Fabert, 2010.</w:t>
      </w:r>
    </w:p>
    <w:p w:rsidR="002406C2" w:rsidRPr="00C13817" w:rsidRDefault="002406C2" w:rsidP="00240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C2" w:rsidRPr="00C13817" w:rsidRDefault="002406C2" w:rsidP="00240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-GUERRAOUI Z., REVEYRAND-COULON O.,</w:t>
      </w:r>
      <w:r w:rsidRPr="00C13817">
        <w:rPr>
          <w:rFonts w:ascii="Arial" w:hAnsi="Arial" w:cs="Arial"/>
          <w:i/>
          <w:sz w:val="24"/>
          <w:szCs w:val="24"/>
        </w:rPr>
        <w:t xml:space="preserve"> Transmission familiale et interculturelle, ruptures, aménagements et créations</w:t>
      </w:r>
      <w:r w:rsidRPr="00C13817">
        <w:rPr>
          <w:rFonts w:ascii="Arial" w:hAnsi="Arial" w:cs="Arial"/>
          <w:sz w:val="24"/>
          <w:szCs w:val="24"/>
        </w:rPr>
        <w:t>, Press, 2011.</w:t>
      </w: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8C2" w:rsidRPr="00C13817" w:rsidRDefault="001428C2" w:rsidP="00142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-METRAUX J-C ., FURTOS J., </w:t>
      </w:r>
      <w:r w:rsidRPr="00C13817">
        <w:rPr>
          <w:rFonts w:ascii="Arial" w:hAnsi="Arial" w:cs="Arial"/>
          <w:i/>
          <w:sz w:val="24"/>
          <w:szCs w:val="24"/>
        </w:rPr>
        <w:t>La migration comme métaphore</w:t>
      </w:r>
      <w:r w:rsidRPr="00C13817">
        <w:rPr>
          <w:rFonts w:ascii="Arial" w:hAnsi="Arial" w:cs="Arial"/>
          <w:sz w:val="24"/>
          <w:szCs w:val="24"/>
        </w:rPr>
        <w:t>, La Dispute, 2011.</w:t>
      </w:r>
    </w:p>
    <w:p w:rsidR="004D1F80" w:rsidRPr="00C13817" w:rsidRDefault="004D1F80" w:rsidP="004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F80" w:rsidRPr="00C13817" w:rsidRDefault="004D1F80" w:rsidP="004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-MORO Marie-Rose, </w:t>
      </w:r>
      <w:r w:rsidRPr="00C13817">
        <w:rPr>
          <w:rFonts w:ascii="Arial" w:hAnsi="Arial" w:cs="Arial"/>
          <w:i/>
          <w:sz w:val="24"/>
          <w:szCs w:val="24"/>
        </w:rPr>
        <w:t>Aimer ses enfants ici et ailleurs. Histoire transculturelle</w:t>
      </w:r>
      <w:r w:rsidRPr="00C13817">
        <w:rPr>
          <w:rFonts w:ascii="Arial" w:hAnsi="Arial" w:cs="Arial"/>
          <w:sz w:val="24"/>
          <w:szCs w:val="24"/>
        </w:rPr>
        <w:t>, Odile Jacob, Paris, 2007.</w:t>
      </w:r>
    </w:p>
    <w:p w:rsidR="004D1F80" w:rsidRPr="00C13817" w:rsidRDefault="004D1F80" w:rsidP="004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F80" w:rsidRPr="00C13817" w:rsidRDefault="004D1F80" w:rsidP="004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-MORO Marie-Rose, </w:t>
      </w:r>
      <w:r w:rsidRPr="00C13817">
        <w:rPr>
          <w:rFonts w:ascii="Arial" w:hAnsi="Arial" w:cs="Arial"/>
          <w:i/>
          <w:sz w:val="24"/>
          <w:szCs w:val="24"/>
        </w:rPr>
        <w:t>Enfants de l’immigration, une chance pour l’école</w:t>
      </w:r>
      <w:r w:rsidRPr="00C13817">
        <w:rPr>
          <w:rFonts w:ascii="Arial" w:hAnsi="Arial" w:cs="Arial"/>
          <w:sz w:val="24"/>
          <w:szCs w:val="24"/>
        </w:rPr>
        <w:t>, Bayard, Montrouge, 2012.</w:t>
      </w:r>
    </w:p>
    <w:p w:rsidR="004D1F80" w:rsidRPr="00C13817" w:rsidRDefault="004D1F80" w:rsidP="004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363" w:rsidRPr="00C13817" w:rsidRDefault="00844363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-ROSENBAUM Francine, </w:t>
      </w:r>
      <w:r w:rsidRPr="00C13817">
        <w:rPr>
          <w:rFonts w:ascii="Arial" w:hAnsi="Arial" w:cs="Arial"/>
          <w:i/>
          <w:sz w:val="24"/>
          <w:szCs w:val="24"/>
        </w:rPr>
        <w:t>Les mots pour les maux de l’exil, Psychothérapie créative</w:t>
      </w:r>
      <w:r w:rsidRPr="00C13817">
        <w:rPr>
          <w:rFonts w:ascii="Arial" w:hAnsi="Arial" w:cs="Arial"/>
          <w:sz w:val="24"/>
          <w:szCs w:val="24"/>
        </w:rPr>
        <w:t>, Fabert, 2019.</w:t>
      </w:r>
    </w:p>
    <w:p w:rsidR="00844363" w:rsidRPr="00C13817" w:rsidRDefault="00844363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363" w:rsidRPr="00C13817" w:rsidRDefault="00844363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</w:t>
      </w:r>
      <w:r w:rsidR="002E271E" w:rsidRPr="00C13817">
        <w:rPr>
          <w:rFonts w:ascii="Arial" w:hAnsi="Arial" w:cs="Arial"/>
          <w:sz w:val="24"/>
          <w:szCs w:val="24"/>
        </w:rPr>
        <w:t xml:space="preserve">WOLF FEDIDA M. (dir.), </w:t>
      </w:r>
      <w:r w:rsidRPr="00C13817">
        <w:rPr>
          <w:rFonts w:ascii="Arial" w:hAnsi="Arial" w:cs="Arial"/>
          <w:i/>
          <w:sz w:val="24"/>
          <w:szCs w:val="24"/>
        </w:rPr>
        <w:t>Bilinguisme et Monoparentalité, Culture et Langage</w:t>
      </w:r>
      <w:r w:rsidRPr="00C13817">
        <w:rPr>
          <w:rFonts w:ascii="Arial" w:hAnsi="Arial" w:cs="Arial"/>
          <w:sz w:val="24"/>
          <w:szCs w:val="24"/>
        </w:rPr>
        <w:t>, MJW Fédition, 2013.</w:t>
      </w:r>
    </w:p>
    <w:p w:rsidR="00982045" w:rsidRPr="00C13817" w:rsidRDefault="00982045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817" w:rsidRDefault="00C13817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-WOLF FEDIDA M. (dir.), </w:t>
      </w:r>
      <w:r w:rsidR="00982045" w:rsidRPr="00C13817">
        <w:rPr>
          <w:rFonts w:ascii="Arial" w:hAnsi="Arial" w:cs="Arial"/>
          <w:i/>
          <w:sz w:val="24"/>
          <w:szCs w:val="24"/>
        </w:rPr>
        <w:t>Bilinguisme, interculturel et ethnologie</w:t>
      </w:r>
      <w:r w:rsidR="00982045" w:rsidRPr="00C13817">
        <w:rPr>
          <w:rFonts w:ascii="Arial" w:hAnsi="Arial" w:cs="Arial"/>
          <w:sz w:val="24"/>
          <w:szCs w:val="24"/>
        </w:rPr>
        <w:t xml:space="preserve">, </w:t>
      </w:r>
      <w:r w:rsidR="00982045" w:rsidRPr="00C13817">
        <w:rPr>
          <w:rFonts w:ascii="Arial" w:hAnsi="Arial" w:cs="Arial"/>
          <w:i/>
          <w:sz w:val="24"/>
          <w:szCs w:val="24"/>
        </w:rPr>
        <w:t>Culture et Langage,</w:t>
      </w:r>
      <w:r w:rsidRPr="00C13817">
        <w:rPr>
          <w:rFonts w:ascii="Arial" w:hAnsi="Arial" w:cs="Arial"/>
          <w:sz w:val="24"/>
          <w:szCs w:val="24"/>
        </w:rPr>
        <w:t xml:space="preserve"> MJW Fédition, 2013</w:t>
      </w:r>
      <w:r>
        <w:rPr>
          <w:rFonts w:ascii="Arial" w:hAnsi="Arial" w:cs="Arial"/>
          <w:sz w:val="24"/>
          <w:szCs w:val="24"/>
        </w:rPr>
        <w:t>.</w:t>
      </w:r>
    </w:p>
    <w:p w:rsidR="00C13817" w:rsidRPr="00C13817" w:rsidRDefault="00C13817" w:rsidP="00844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AE4" w:rsidRPr="00C13817" w:rsidRDefault="00A34AE4" w:rsidP="00A34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AE4" w:rsidRPr="00C13817" w:rsidRDefault="00A34AE4" w:rsidP="00A34A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3817">
        <w:rPr>
          <w:rFonts w:ascii="Arial" w:hAnsi="Arial" w:cs="Arial"/>
          <w:b/>
          <w:sz w:val="24"/>
          <w:szCs w:val="24"/>
          <w:u w:val="single"/>
        </w:rPr>
        <w:t xml:space="preserve">Les articles </w:t>
      </w:r>
    </w:p>
    <w:p w:rsidR="00904211" w:rsidRPr="00C13817" w:rsidRDefault="00904211" w:rsidP="009042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</w:t>
      </w:r>
      <w:r w:rsidR="002406C2" w:rsidRPr="00C13817">
        <w:rPr>
          <w:rFonts w:ascii="Arial" w:hAnsi="Arial" w:cs="Arial"/>
          <w:sz w:val="24"/>
          <w:szCs w:val="24"/>
        </w:rPr>
        <w:t>BRODER G.</w:t>
      </w:r>
      <w:r w:rsidRPr="00C13817">
        <w:rPr>
          <w:rFonts w:ascii="Arial" w:hAnsi="Arial" w:cs="Arial"/>
          <w:sz w:val="24"/>
          <w:szCs w:val="24"/>
        </w:rPr>
        <w:t xml:space="preserve">, 2006, « Représentations maternelles pendant la grossesse et événement traumatique », </w:t>
      </w:r>
      <w:r w:rsidRPr="00C13817">
        <w:rPr>
          <w:rFonts w:ascii="Arial" w:hAnsi="Arial" w:cs="Arial"/>
          <w:i/>
          <w:sz w:val="24"/>
          <w:szCs w:val="24"/>
        </w:rPr>
        <w:t>L’Autre,</w:t>
      </w:r>
      <w:r w:rsidRPr="00C13817">
        <w:rPr>
          <w:rFonts w:ascii="Arial" w:hAnsi="Arial" w:cs="Arial"/>
          <w:sz w:val="24"/>
          <w:szCs w:val="24"/>
        </w:rPr>
        <w:t xml:space="preserve"> 2006, p.151.</w:t>
      </w: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</w:t>
      </w:r>
      <w:r w:rsidR="002406C2" w:rsidRPr="00C13817">
        <w:rPr>
          <w:rFonts w:ascii="Arial" w:hAnsi="Arial" w:cs="Arial"/>
          <w:sz w:val="24"/>
          <w:szCs w:val="24"/>
        </w:rPr>
        <w:t>CHAPELLON S.</w:t>
      </w:r>
      <w:r w:rsidRPr="00C13817">
        <w:rPr>
          <w:rFonts w:ascii="Arial" w:hAnsi="Arial" w:cs="Arial"/>
          <w:sz w:val="24"/>
          <w:szCs w:val="24"/>
        </w:rPr>
        <w:t xml:space="preserve">, 2011, « L’enfant de migrant est-il soluble dans l’école ? Réflexion autour des effets trans-familiaux de la migration », Nouvelle Revue de Psychosociologie, 2001. </w:t>
      </w: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2FC" w:rsidRPr="00C13817" w:rsidRDefault="009502FC" w:rsidP="00904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-DOSSOU C</w:t>
      </w:r>
      <w:r w:rsidR="002406C2" w:rsidRPr="00C13817">
        <w:rPr>
          <w:rFonts w:ascii="Arial" w:hAnsi="Arial" w:cs="Arial"/>
          <w:sz w:val="24"/>
          <w:szCs w:val="24"/>
        </w:rPr>
        <w:t>.</w:t>
      </w:r>
      <w:r w:rsidRPr="00C13817">
        <w:rPr>
          <w:rFonts w:ascii="Arial" w:hAnsi="Arial" w:cs="Arial"/>
          <w:sz w:val="24"/>
          <w:szCs w:val="24"/>
        </w:rPr>
        <w:t>, « </w:t>
      </w:r>
      <w:r w:rsidR="00904211" w:rsidRPr="00C13817">
        <w:rPr>
          <w:rFonts w:ascii="Arial" w:hAnsi="Arial" w:cs="Arial"/>
          <w:sz w:val="24"/>
          <w:szCs w:val="24"/>
        </w:rPr>
        <w:t xml:space="preserve"> Le Prénom, Culture et Langage</w:t>
      </w:r>
      <w:r w:rsidRPr="00C13817">
        <w:rPr>
          <w:rFonts w:ascii="Arial" w:hAnsi="Arial" w:cs="Arial"/>
          <w:sz w:val="24"/>
          <w:szCs w:val="24"/>
        </w:rPr>
        <w:t> »</w:t>
      </w:r>
      <w:r w:rsidR="00904211" w:rsidRPr="00C13817">
        <w:rPr>
          <w:rFonts w:ascii="Arial" w:hAnsi="Arial" w:cs="Arial"/>
          <w:sz w:val="24"/>
          <w:szCs w:val="24"/>
        </w:rPr>
        <w:t xml:space="preserve">, </w:t>
      </w:r>
      <w:r w:rsidRPr="00C13817">
        <w:rPr>
          <w:rFonts w:ascii="Arial" w:hAnsi="Arial" w:cs="Arial"/>
          <w:sz w:val="24"/>
          <w:szCs w:val="24"/>
        </w:rPr>
        <w:t>Enfances et Psy, n°48, Erès, janvier 2011.</w:t>
      </w:r>
    </w:p>
    <w:p w:rsidR="009502FC" w:rsidRPr="00C13817" w:rsidRDefault="009502FC" w:rsidP="00904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D88" w:rsidRPr="00C13817" w:rsidRDefault="00E27D88" w:rsidP="00E27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</w:t>
      </w:r>
      <w:r w:rsidR="002406C2" w:rsidRPr="00C13817">
        <w:rPr>
          <w:rFonts w:ascii="Arial" w:hAnsi="Arial" w:cs="Arial"/>
          <w:sz w:val="24"/>
          <w:szCs w:val="24"/>
        </w:rPr>
        <w:t>GIBELLO B.</w:t>
      </w:r>
      <w:r w:rsidRPr="00C13817">
        <w:rPr>
          <w:rFonts w:ascii="Arial" w:hAnsi="Arial" w:cs="Arial"/>
          <w:sz w:val="24"/>
          <w:szCs w:val="24"/>
        </w:rPr>
        <w:t xml:space="preserve">, « Contenants de pensée, contenants culturels. La dimension créative de l’échec scolaire », </w:t>
      </w:r>
      <w:r w:rsidR="002406C2" w:rsidRPr="00C13817">
        <w:rPr>
          <w:rFonts w:ascii="Arial" w:hAnsi="Arial" w:cs="Arial"/>
          <w:sz w:val="24"/>
          <w:szCs w:val="24"/>
        </w:rPr>
        <w:t xml:space="preserve">in </w:t>
      </w:r>
      <w:r w:rsidRPr="00C13817">
        <w:rPr>
          <w:rFonts w:ascii="Arial" w:hAnsi="Arial" w:cs="Arial"/>
          <w:sz w:val="24"/>
          <w:szCs w:val="24"/>
        </w:rPr>
        <w:t>Troubles du langage et de la filiation chez le Maghrébin de la deuxième génération, La Pensée Sauvage, 1988.</w:t>
      </w:r>
    </w:p>
    <w:p w:rsidR="00C5345C" w:rsidRPr="00C13817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C2" w:rsidRPr="00C13817" w:rsidRDefault="002406C2" w:rsidP="00240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>-LEBRETON M., « Défaut dans la transmission et trouble des liens premiers en situation de migration » in</w:t>
      </w:r>
      <w:r w:rsidR="00C13817" w:rsidRPr="00C13817">
        <w:rPr>
          <w:rFonts w:ascii="Arial" w:hAnsi="Arial" w:cs="Arial"/>
          <w:sz w:val="24"/>
          <w:szCs w:val="24"/>
        </w:rPr>
        <w:t xml:space="preserve"> </w:t>
      </w:r>
      <w:r w:rsidR="004F69C7" w:rsidRPr="00C13817">
        <w:rPr>
          <w:rFonts w:ascii="Arial" w:hAnsi="Arial" w:cs="Arial"/>
          <w:sz w:val="24"/>
          <w:szCs w:val="24"/>
        </w:rPr>
        <w:t xml:space="preserve">GUERRAOUI Z., REVEYRAND-COULON O, </w:t>
      </w:r>
      <w:r w:rsidRPr="00C13817">
        <w:rPr>
          <w:rFonts w:ascii="Arial" w:hAnsi="Arial" w:cs="Arial"/>
          <w:i/>
          <w:sz w:val="24"/>
          <w:szCs w:val="24"/>
        </w:rPr>
        <w:t>Transmission familiale et interculturelle. Rupture, aménagement, créations</w:t>
      </w:r>
      <w:r w:rsidRPr="00C13817">
        <w:rPr>
          <w:rFonts w:ascii="Arial" w:hAnsi="Arial" w:cs="Arial"/>
          <w:sz w:val="24"/>
          <w:szCs w:val="24"/>
        </w:rPr>
        <w:t>, Press ,</w:t>
      </w:r>
      <w:r w:rsidR="004F69C7" w:rsidRPr="00C13817">
        <w:rPr>
          <w:rFonts w:ascii="Arial" w:hAnsi="Arial" w:cs="Arial"/>
          <w:sz w:val="24"/>
          <w:szCs w:val="24"/>
        </w:rPr>
        <w:t xml:space="preserve"> 2011. </w:t>
      </w:r>
      <w:r w:rsidRPr="00C13817">
        <w:rPr>
          <w:rFonts w:ascii="Arial" w:hAnsi="Arial" w:cs="Arial"/>
          <w:sz w:val="24"/>
          <w:szCs w:val="24"/>
        </w:rPr>
        <w:t>p.</w:t>
      </w:r>
      <w:r w:rsidR="004F69C7" w:rsidRPr="00C13817">
        <w:rPr>
          <w:rFonts w:ascii="Arial" w:hAnsi="Arial" w:cs="Arial"/>
          <w:sz w:val="24"/>
          <w:szCs w:val="24"/>
        </w:rPr>
        <w:t xml:space="preserve"> </w:t>
      </w:r>
      <w:r w:rsidRPr="00C13817">
        <w:rPr>
          <w:rFonts w:ascii="Arial" w:hAnsi="Arial" w:cs="Arial"/>
          <w:sz w:val="24"/>
          <w:szCs w:val="24"/>
        </w:rPr>
        <w:t>177-188.</w:t>
      </w:r>
    </w:p>
    <w:p w:rsidR="00C5345C" w:rsidRDefault="00C5345C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817" w:rsidRPr="00C13817" w:rsidRDefault="00C13817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533" w:rsidRPr="00C13817" w:rsidRDefault="002D3533" w:rsidP="00C534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AE4" w:rsidRPr="00C13817" w:rsidRDefault="00C13817" w:rsidP="00A34A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817">
        <w:rPr>
          <w:rFonts w:ascii="Arial" w:hAnsi="Arial" w:cs="Arial"/>
          <w:b/>
          <w:sz w:val="24"/>
          <w:szCs w:val="24"/>
        </w:rPr>
        <w:t>Site</w:t>
      </w:r>
      <w:r w:rsidR="00A34AE4" w:rsidRPr="00C13817">
        <w:rPr>
          <w:rFonts w:ascii="Arial" w:hAnsi="Arial" w:cs="Arial"/>
          <w:b/>
          <w:sz w:val="24"/>
          <w:szCs w:val="24"/>
        </w:rPr>
        <w:t xml:space="preserve"> </w:t>
      </w:r>
      <w:r w:rsidRPr="00C13817">
        <w:rPr>
          <w:rFonts w:ascii="Arial" w:hAnsi="Arial" w:cs="Arial"/>
          <w:b/>
          <w:sz w:val="24"/>
          <w:szCs w:val="24"/>
        </w:rPr>
        <w:t>internet </w:t>
      </w:r>
    </w:p>
    <w:p w:rsidR="00A34AE4" w:rsidRPr="00C13817" w:rsidRDefault="00A34AE4" w:rsidP="00192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817" w:rsidRPr="00C13817" w:rsidRDefault="00C13817" w:rsidP="00C13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- MORO M-R., « Les parents migrants sont aussi de bons parents.. », </w:t>
      </w:r>
    </w:p>
    <w:p w:rsidR="00C13817" w:rsidRPr="00C13817" w:rsidRDefault="00C13817" w:rsidP="00C138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817">
        <w:rPr>
          <w:rFonts w:ascii="Arial" w:hAnsi="Arial" w:cs="Arial"/>
          <w:sz w:val="24"/>
          <w:szCs w:val="24"/>
        </w:rPr>
        <w:t xml:space="preserve">[En ligne]. Disponible sur : </w:t>
      </w:r>
      <w:hyperlink r:id="rId6" w:history="1">
        <w:r w:rsidRPr="00C13817">
          <w:rPr>
            <w:rStyle w:val="Lienhypertexte"/>
            <w:rFonts w:ascii="Arial" w:hAnsi="Arial" w:cs="Arial"/>
            <w:sz w:val="24"/>
            <w:szCs w:val="24"/>
          </w:rPr>
          <w:t>http://www.marierosemoro.fr/</w:t>
        </w:r>
      </w:hyperlink>
      <w:r w:rsidRPr="00C13817">
        <w:rPr>
          <w:rFonts w:ascii="Arial" w:hAnsi="Arial" w:cs="Arial"/>
          <w:sz w:val="24"/>
          <w:szCs w:val="24"/>
        </w:rPr>
        <w:t xml:space="preserve"> </w:t>
      </w:r>
    </w:p>
    <w:p w:rsidR="00C13817" w:rsidRPr="00C13817" w:rsidRDefault="00C13817" w:rsidP="00192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866" w:rsidRPr="00567866" w:rsidRDefault="00567866" w:rsidP="0056786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B4t00"/>
          <w:sz w:val="28"/>
          <w:szCs w:val="28"/>
        </w:rPr>
      </w:pPr>
    </w:p>
    <w:sectPr w:rsidR="00567866" w:rsidRPr="00567866" w:rsidSect="0098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1B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114"/>
    <w:multiLevelType w:val="hybridMultilevel"/>
    <w:tmpl w:val="3000F5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2E97"/>
    <w:rsid w:val="001428C2"/>
    <w:rsid w:val="00192E97"/>
    <w:rsid w:val="002406C2"/>
    <w:rsid w:val="002D3533"/>
    <w:rsid w:val="002E271E"/>
    <w:rsid w:val="002F0672"/>
    <w:rsid w:val="004A393C"/>
    <w:rsid w:val="004D1F80"/>
    <w:rsid w:val="004F69C7"/>
    <w:rsid w:val="00567866"/>
    <w:rsid w:val="00576F55"/>
    <w:rsid w:val="00604181"/>
    <w:rsid w:val="00645757"/>
    <w:rsid w:val="00844363"/>
    <w:rsid w:val="0086417E"/>
    <w:rsid w:val="00904211"/>
    <w:rsid w:val="009502FC"/>
    <w:rsid w:val="00982045"/>
    <w:rsid w:val="009A0D08"/>
    <w:rsid w:val="00A34AE4"/>
    <w:rsid w:val="00AB5D2C"/>
    <w:rsid w:val="00B825DC"/>
    <w:rsid w:val="00BE548C"/>
    <w:rsid w:val="00C13817"/>
    <w:rsid w:val="00C5345C"/>
    <w:rsid w:val="00E27D88"/>
    <w:rsid w:val="00FE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2E9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34AE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34AE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erosemoro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 Droit Famille</dc:creator>
  <cp:lastModifiedBy>CG94</cp:lastModifiedBy>
  <cp:revision>2</cp:revision>
  <dcterms:created xsi:type="dcterms:W3CDTF">2021-01-16T09:58:00Z</dcterms:created>
  <dcterms:modified xsi:type="dcterms:W3CDTF">2021-01-16T09:58:00Z</dcterms:modified>
</cp:coreProperties>
</file>